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 w:val="0"/>
          <w:color w:val="53655A"/>
          <w:sz w:val="17"/>
          <w:lang w:val="de-DE"/>
        </w:rPr>
        <w:t>SYSTEME &amp; EINFÜHRUNG  /  SC-09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fill="10382B" w:val="clear"/>
            <w:tcMar>
              <w:top w:w="220" w:type="dxa"/>
              <w:bottom w:w="220" w:type="dxa"/>
              <w:start w:w="260" w:type="dxa"/>
              <w:end w:w="26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color w:val="F5F3EC"/>
                <w:sz w:val="54"/>
                <w:lang w:val="de-DE"/>
              </w:rPr>
              <w:t>Automatisierungs-Prüfung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rFonts w:ascii="Arial" w:hAnsi="Arial"/>
          <w:b w:val="0"/>
          <w:color w:val="183C30"/>
          <w:sz w:val="21"/>
          <w:lang w:val="de-DE"/>
        </w:rPr>
        <w:t>Auslöser, Regeln, Fehlerwege und Betriebsverantwortung prüfen.</w:t>
      </w:r>
    </w:p>
    <w:p>
      <w:pPr>
        <w:spacing w:after="140"/>
      </w:pPr>
      <w:r>
        <w:drawing>
          <wp:inline xmlns:a="http://schemas.openxmlformats.org/drawingml/2006/main" xmlns:pic="http://schemas.openxmlformats.org/drawingml/2006/picture" distT="0" distB="0" distL="0" distR="0">
            <wp:extent cx="6120000" cy="1264800"/>
            <wp:docPr id="1" name="Picture 1" descr="Redaktionelles SEVAREL-Motiv zur Kategorie Systeme &amp; Einführu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26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rFonts w:ascii="Arial" w:hAnsi="Arial"/>
          <w:b w:val="0"/>
          <w:color w:val="53655A"/>
          <w:sz w:val="14"/>
          <w:lang w:val="de-DE"/>
        </w:rPr>
        <w:t>SEVAREL ARBEITSMITTEL   ·   AUSGABE 30.09.2026   ·   PDF / WORD</w:t>
      </w:r>
    </w:p>
    <w:p>
      <w:r>
        <w:rPr>
          <w:rFonts w:ascii="Arial" w:hAnsi="Arial"/>
          <w:b w:val="0"/>
          <w:color w:val="53655A"/>
          <w:sz w:val="18"/>
          <w:lang w:val="de-DE"/>
        </w:rPr>
        <w:t>Auszufüllen mit freigegebenen Informationen. Leere Felder bleiben offen; keine Daten oder Freigaben erfinden.</w:t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01  Aufgabe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Gewünschte Veränderung: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Gewünschte Veränderung:"/>
                <w:tag w:val="11eee4d1f0958e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Heutiger Ablauf: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Heutiger Ablauf:"/>
                <w:tag w:val="899602fc56723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Eindeutiger Auslöser: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Eindeutiger Auslöser:"/>
                <w:tag w:val="2ace3ae73581b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Erkennbarer Abschluss: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Erkennbarer Abschluss:"/>
                <w:tag w:val="ac878567f69ae8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Fachlicher Verantwortlicher: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Fachlicher Verantwortlicher:"/>
                <w:tag w:val="af3cdb3b62fae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02  Voraussetzungen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510"/>
        <w:gridCol w:w="9128"/>
      </w:tblGrid>
      <w:tr>
        <w:trPr>
          <w:cantSplit/>
          <w:trHeight w:val="567" w:hRule="atLeast"/>
        </w:trPr>
        <w:tc>
          <w:tcPr>
            <w:tcW w:type="dxa" w:w="510"/>
            <w:tcMar>
              <w:top w:w="70" w:type="dxa"/>
              <w:bottom w:w="70" w:type="dxa"/>
              <w:start w:w="140" w:type="dxa"/>
              <w:end w:w="140" w:type="dxa"/>
            </w:tcMar>
            <w:vAlign w:val="center"/>
          </w:tcPr>
          <w:p>
            <w:r>
              <w:rPr>
                <w:rFonts w:ascii="DejaVu Sans" w:hAnsi="DejaVu Sans"/>
                <w:color w:val="53655A"/>
                <w:sz w:val="24"/>
              </w:rPr>
              <w:t>☐</w:t>
            </w:r>
          </w:p>
        </w:tc>
        <w:tc>
          <w:tcPr>
            <w:tcW w:type="dxa" w:w="9128"/>
            <w:tcMar>
              <w:top w:w="70" w:type="dxa"/>
              <w:bottom w:w="70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83C30"/>
                <w:sz w:val="20"/>
                <w:lang w:val="de-DE"/>
              </w:rPr>
              <w:t>Regeln für Normalfälle beschrieben.</w:t>
            </w:r>
          </w:p>
        </w:tc>
      </w:tr>
      <w:tr>
        <w:trPr>
          <w:cantSplit/>
          <w:trHeight w:val="567" w:hRule="atLeast"/>
        </w:trPr>
        <w:tc>
          <w:tcPr>
            <w:tcW w:type="dxa" w:w="510"/>
            <w:tcMar>
              <w:top w:w="70" w:type="dxa"/>
              <w:bottom w:w="70" w:type="dxa"/>
              <w:start w:w="140" w:type="dxa"/>
              <w:end w:w="140" w:type="dxa"/>
            </w:tcMar>
            <w:vAlign w:val="center"/>
          </w:tcPr>
          <w:p>
            <w:r>
              <w:rPr>
                <w:rFonts w:ascii="DejaVu Sans" w:hAnsi="DejaVu Sans"/>
                <w:color w:val="53655A"/>
                <w:sz w:val="24"/>
              </w:rPr>
              <w:t>☐</w:t>
            </w:r>
          </w:p>
        </w:tc>
        <w:tc>
          <w:tcPr>
            <w:tcW w:type="dxa" w:w="9128"/>
            <w:tcMar>
              <w:top w:w="70" w:type="dxa"/>
              <w:bottom w:w="70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83C30"/>
                <w:sz w:val="20"/>
                <w:lang w:val="de-DE"/>
              </w:rPr>
              <w:t>Ausnahmewege definiert.</w:t>
            </w:r>
          </w:p>
        </w:tc>
      </w:tr>
      <w:tr>
        <w:trPr>
          <w:cantSplit/>
          <w:trHeight w:val="567" w:hRule="atLeast"/>
        </w:trPr>
        <w:tc>
          <w:tcPr>
            <w:tcW w:type="dxa" w:w="510"/>
            <w:tcMar>
              <w:top w:w="70" w:type="dxa"/>
              <w:bottom w:w="70" w:type="dxa"/>
              <w:start w:w="140" w:type="dxa"/>
              <w:end w:w="140" w:type="dxa"/>
            </w:tcMar>
            <w:vAlign w:val="center"/>
          </w:tcPr>
          <w:p>
            <w:r>
              <w:rPr>
                <w:rFonts w:ascii="DejaVu Sans" w:hAnsi="DejaVu Sans"/>
                <w:color w:val="53655A"/>
                <w:sz w:val="24"/>
              </w:rPr>
              <w:t>☐</w:t>
            </w:r>
          </w:p>
        </w:tc>
        <w:tc>
          <w:tcPr>
            <w:tcW w:type="dxa" w:w="9128"/>
            <w:tcMar>
              <w:top w:w="70" w:type="dxa"/>
              <w:bottom w:w="70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83C30"/>
                <w:sz w:val="20"/>
                <w:lang w:val="de-DE"/>
              </w:rPr>
              <w:t>Datenherkunft, führendes System und Bearbeitungsrechte geklärt.</w:t>
            </w:r>
          </w:p>
        </w:tc>
      </w:tr>
      <w:tr>
        <w:trPr>
          <w:cantSplit/>
          <w:trHeight w:val="567" w:hRule="atLeast"/>
        </w:trPr>
        <w:tc>
          <w:tcPr>
            <w:tcW w:type="dxa" w:w="510"/>
            <w:tcMar>
              <w:top w:w="70" w:type="dxa"/>
              <w:bottom w:w="70" w:type="dxa"/>
              <w:start w:w="140" w:type="dxa"/>
              <w:end w:w="140" w:type="dxa"/>
            </w:tcMar>
            <w:vAlign w:val="center"/>
          </w:tcPr>
          <w:p>
            <w:r>
              <w:rPr>
                <w:rFonts w:ascii="DejaVu Sans" w:hAnsi="DejaVu Sans"/>
                <w:color w:val="53655A"/>
                <w:sz w:val="24"/>
              </w:rPr>
              <w:t>☐</w:t>
            </w:r>
          </w:p>
        </w:tc>
        <w:tc>
          <w:tcPr>
            <w:tcW w:type="dxa" w:w="9128"/>
            <w:tcMar>
              <w:top w:w="70" w:type="dxa"/>
              <w:bottom w:w="70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83C30"/>
                <w:sz w:val="20"/>
                <w:lang w:val="de-DE"/>
              </w:rPr>
              <w:t>Zulässige Schnittstelle technisch geprüft.</w:t>
            </w:r>
          </w:p>
        </w:tc>
      </w:tr>
      <w:tr>
        <w:trPr>
          <w:cantSplit/>
          <w:trHeight w:val="567" w:hRule="atLeast"/>
        </w:trPr>
        <w:tc>
          <w:tcPr>
            <w:tcW w:type="dxa" w:w="510"/>
            <w:tcMar>
              <w:top w:w="70" w:type="dxa"/>
              <w:bottom w:w="70" w:type="dxa"/>
              <w:start w:w="140" w:type="dxa"/>
              <w:end w:w="140" w:type="dxa"/>
            </w:tcMar>
            <w:vAlign w:val="center"/>
          </w:tcPr>
          <w:p>
            <w:r>
              <w:rPr>
                <w:rFonts w:ascii="DejaVu Sans" w:hAnsi="DejaVu Sans"/>
                <w:color w:val="53655A"/>
                <w:sz w:val="24"/>
              </w:rPr>
              <w:t>☐</w:t>
            </w:r>
          </w:p>
        </w:tc>
        <w:tc>
          <w:tcPr>
            <w:tcW w:type="dxa" w:w="9128"/>
            <w:tcMar>
              <w:top w:w="70" w:type="dxa"/>
              <w:bottom w:w="70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83C30"/>
                <w:sz w:val="20"/>
                <w:lang w:val="de-DE"/>
              </w:rPr>
              <w:t>Wiederholung und Dublette unterschieden.</w:t>
            </w:r>
          </w:p>
        </w:tc>
      </w:tr>
      <w:tr>
        <w:trPr>
          <w:cantSplit/>
          <w:trHeight w:val="567" w:hRule="atLeast"/>
        </w:trPr>
        <w:tc>
          <w:tcPr>
            <w:tcW w:type="dxa" w:w="510"/>
            <w:tcMar>
              <w:top w:w="70" w:type="dxa"/>
              <w:bottom w:w="70" w:type="dxa"/>
              <w:start w:w="140" w:type="dxa"/>
              <w:end w:w="140" w:type="dxa"/>
            </w:tcMar>
            <w:vAlign w:val="center"/>
          </w:tcPr>
          <w:p>
            <w:r>
              <w:rPr>
                <w:rFonts w:ascii="DejaVu Sans" w:hAnsi="DejaVu Sans"/>
                <w:color w:val="53655A"/>
                <w:sz w:val="24"/>
              </w:rPr>
              <w:t>☐</w:t>
            </w:r>
          </w:p>
        </w:tc>
        <w:tc>
          <w:tcPr>
            <w:tcW w:type="dxa" w:w="9128"/>
            <w:tcMar>
              <w:top w:w="70" w:type="dxa"/>
              <w:bottom w:w="70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83C30"/>
                <w:sz w:val="20"/>
                <w:lang w:val="de-DE"/>
              </w:rPr>
              <w:t>Fehlerzustand, Benachrichtigung und zuständige Rolle festgelegt.</w:t>
            </w:r>
          </w:p>
        </w:tc>
      </w:tr>
      <w:tr>
        <w:trPr>
          <w:cantSplit/>
          <w:trHeight w:val="567" w:hRule="atLeast"/>
        </w:trPr>
        <w:tc>
          <w:tcPr>
            <w:tcW w:type="dxa" w:w="510"/>
            <w:tcMar>
              <w:top w:w="70" w:type="dxa"/>
              <w:bottom w:w="70" w:type="dxa"/>
              <w:start w:w="140" w:type="dxa"/>
              <w:end w:w="140" w:type="dxa"/>
            </w:tcMar>
            <w:vAlign w:val="center"/>
          </w:tcPr>
          <w:p>
            <w:r>
              <w:rPr>
                <w:rFonts w:ascii="DejaVu Sans" w:hAnsi="DejaVu Sans"/>
                <w:color w:val="53655A"/>
                <w:sz w:val="24"/>
              </w:rPr>
              <w:t>☐</w:t>
            </w:r>
          </w:p>
        </w:tc>
        <w:tc>
          <w:tcPr>
            <w:tcW w:type="dxa" w:w="9128"/>
            <w:tcMar>
              <w:top w:w="70" w:type="dxa"/>
              <w:bottom w:w="70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83C30"/>
                <w:sz w:val="20"/>
                <w:lang w:val="de-DE"/>
              </w:rPr>
              <w:t>Kontrollierter Rückfallweg vorhanden.</w:t>
            </w:r>
          </w:p>
        </w:tc>
      </w:tr>
      <w:tr>
        <w:trPr>
          <w:cantSplit/>
          <w:trHeight w:val="567" w:hRule="atLeast"/>
        </w:trPr>
        <w:tc>
          <w:tcPr>
            <w:tcW w:type="dxa" w:w="510"/>
            <w:tcMar>
              <w:top w:w="70" w:type="dxa"/>
              <w:bottom w:w="70" w:type="dxa"/>
              <w:start w:w="140" w:type="dxa"/>
              <w:end w:w="140" w:type="dxa"/>
            </w:tcMar>
            <w:vAlign w:val="center"/>
          </w:tcPr>
          <w:p>
            <w:r>
              <w:rPr>
                <w:rFonts w:ascii="DejaVu Sans" w:hAnsi="DejaVu Sans"/>
                <w:color w:val="53655A"/>
                <w:sz w:val="24"/>
              </w:rPr>
              <w:t>☐</w:t>
            </w:r>
          </w:p>
        </w:tc>
        <w:tc>
          <w:tcPr>
            <w:tcW w:type="dxa" w:w="9128"/>
            <w:tcMar>
              <w:top w:w="70" w:type="dxa"/>
              <w:bottom w:w="70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83C30"/>
                <w:sz w:val="20"/>
                <w:lang w:val="de-DE"/>
              </w:rPr>
              <w:t>Kosten und reale Netto-Kapazität separat betrachtet.</w:t>
            </w:r>
          </w:p>
        </w:tc>
      </w:tr>
    </w:tbl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03  Tests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4DBD1"/>
          <w:left w:val="single" w:sz="4" w:color="D4DBD1"/>
          <w:bottom w:val="single" w:sz="4" w:color="D4DBD1"/>
          <w:right w:val="single" w:sz="4" w:color="D4DBD1"/>
          <w:insideH w:val="single" w:sz="4" w:color="D4DBD1"/>
          <w:insideV w:val="single" w:sz="4" w:color="D4DBD1"/>
        </w:tblBorders>
      </w:tblPr>
      <w:tblGrid>
        <w:gridCol w:w="2120"/>
        <w:gridCol w:w="1503"/>
        <w:gridCol w:w="1503"/>
        <w:gridCol w:w="1503"/>
        <w:gridCol w:w="1503"/>
        <w:gridCol w:w="1503"/>
      </w:tblGrid>
      <w:tr>
        <w:trPr>
          <w:tblHeader/>
          <w:cantSplit/>
        </w:trPr>
        <w:tc>
          <w:tcPr>
            <w:tcW w:type="dxa" w:w="2120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Fall</w:t>
            </w:r>
          </w:p>
        </w:tc>
        <w:tc>
          <w:tcPr>
            <w:tcW w:type="dxa" w:w="1503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Eingang</w:t>
            </w:r>
          </w:p>
        </w:tc>
        <w:tc>
          <w:tcPr>
            <w:tcW w:type="dxa" w:w="1503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Erwartung</w:t>
            </w:r>
          </w:p>
        </w:tc>
        <w:tc>
          <w:tcPr>
            <w:tcW w:type="dxa" w:w="1503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Nachweis</w:t>
            </w:r>
          </w:p>
        </w:tc>
        <w:tc>
          <w:tcPr>
            <w:tcW w:type="dxa" w:w="1503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Urteil</w:t>
            </w:r>
          </w:p>
        </w:tc>
        <w:tc>
          <w:tcPr>
            <w:tcW w:type="dxa" w:w="1503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Zuständig</w:t>
            </w:r>
          </w:p>
        </w:tc>
      </w:tr>
      <w:tr>
        <w:trPr>
          <w:trHeight w:val="964" w:hRule="atLeast"/>
          <w:cantSplit/>
        </w:trPr>
        <w:tc>
          <w:tcPr>
            <w:tcW w:type="dxa" w:w="2120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Normal</w:t>
            </w:r>
          </w:p>
        </w:tc>
        <w:tc>
          <w:tcPr>
            <w:tcW w:type="dxa" w:w="150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Eingang 1"/>
                <w:tag w:val="766cb079f8db2e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50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Erwartung 1"/>
                <w:tag w:val="73b6b7dde7e55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50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Nachweis 1"/>
                <w:tag w:val="fad10e9eaef4e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50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Urteil 1"/>
                <w:tag w:val="c941aff40d525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50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Zuständig 1"/>
                <w:tag w:val="a9d458cad0126e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2120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Dublette</w:t>
            </w:r>
          </w:p>
        </w:tc>
        <w:tc>
          <w:tcPr>
            <w:tcW w:type="dxa" w:w="150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Eingang 2"/>
                <w:tag w:val="f4b880b5eafbf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50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Erwartung 2"/>
                <w:tag w:val="ae5636d9f22cd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50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Nachweis 2"/>
                <w:tag w:val="05f6a5c83e1d1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50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Urteil 2"/>
                <w:tag w:val="f9edd71d182b42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50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Zuständig 2"/>
                <w:tag w:val="2e3afe820251fc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2120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Pflichtfeld fehlt</w:t>
            </w:r>
          </w:p>
        </w:tc>
        <w:tc>
          <w:tcPr>
            <w:tcW w:type="dxa" w:w="150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Eingang 3"/>
                <w:tag w:val="ea9e3ee55dfc4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50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Erwartung 3"/>
                <w:tag w:val="9a807dc6ee382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50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Nachweis 3"/>
                <w:tag w:val="64ccb70051a0a6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50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Urteil 3"/>
                <w:tag w:val="bd628b75597768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50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Zuständig 3"/>
                <w:tag w:val="69d6165045f3d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2120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Berechtigung fehlt</w:t>
            </w:r>
          </w:p>
        </w:tc>
        <w:tc>
          <w:tcPr>
            <w:tcW w:type="dxa" w:w="150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Eingang 4"/>
                <w:tag w:val="7fbdbaacbedca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50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Erwartung 4"/>
                <w:tag w:val="8c45267fd34f0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50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Nachweis 4"/>
                <w:tag w:val="cb7bdbfdb3cb0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50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Urteil 4"/>
                <w:tag w:val="314f77015fd8c8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50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Zuständig 4"/>
                <w:tag w:val="1d2d3bfaeb6ad2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2120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Zielsystem ausgefallen</w:t>
            </w:r>
          </w:p>
        </w:tc>
        <w:tc>
          <w:tcPr>
            <w:tcW w:type="dxa" w:w="150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Eingang 5"/>
                <w:tag w:val="3fc21912b9481e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50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Erwartung 5"/>
                <w:tag w:val="887e4cc48c5ab3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50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Nachweis 5"/>
                <w:tag w:val="31982193104b4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50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Urteil 5"/>
                <w:tag w:val="7721d18554490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50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Zuständig 5"/>
                <w:tag w:val="8b5e3d4a869682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04  Entscheidung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Automatisieren / erst Grundlagen klären / nicht weiterverfolgen: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Automatisieren / erst Grundlagen klären / nicht weiterverfolgen:"/>
                <w:tag w:val="851329273be8d3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Begründung: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Begründung:"/>
                <w:tag w:val="db9006d2f0544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Begrenzter Pilotumfang: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Begrenzter Pilotumfang:"/>
                <w:tag w:val="2f9c9b419b52e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Stop-Kriterien: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Stop-Kriterien:"/>
                <w:tag w:val="54429076d764f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05  Herkunft und Freigabe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Verwendete Quellen: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Verwendete Quellen:"/>
                <w:tag w:val="5c8b9189403309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Annahmen: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Annahmen:"/>
                <w:tag w:val="85363b3d4c82d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Offene Fragen: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Offene Fragen:"/>
                <w:tag w:val="8fa1bc1446972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Fachlich geprüft durch / Datum: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Fachlich geprüft durch / Datum:"/>
                <w:tag w:val="dda3132fd5eb5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rPr>
          <w:rFonts w:ascii="Arial" w:hAnsi="Arial"/>
          <w:b w:val="0"/>
          <w:color w:val="53655A"/>
          <w:sz w:val="19"/>
          <w:lang w:val="de-DE"/>
        </w:rPr>
        <w:t>Diese Vorlage beschreibt ein Arbeitsmodell. Sie ersetzt keine technische, rechtliche oder fachliche Prüfung des konkreten Vorhabens.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04" w:right="1134" w:bottom="1134" w:left="1134" w:header="51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before="120"/>
    </w:pPr>
    <w:r>
      <w:rPr>
        <w:rFonts w:ascii="Arial" w:hAnsi="Arial"/>
        <w:b w:val="0"/>
        <w:color w:val="53655A"/>
        <w:sz w:val="15"/>
        <w:lang w:val="de-DE"/>
      </w:rPr>
      <w:t>SC-09  ·  ARBEITSVORLAGE</w:t>
    </w:r>
    <w:r>
      <w:rPr>
        <w:rFonts w:ascii="Arial" w:hAnsi="Arial"/>
        <w:b w:val="0"/>
        <w:color w:val="53655A"/>
        <w:sz w:val="16"/>
        <w:lang w:val="de-DE"/>
      </w:rPr>
      <w:tab/>
    </w:r>
    <w:r>
      <w:fldChar w:fldCharType="begin"/>
    </w:r>
    <w:r>
      <w:instrText xml:space="preserve"> PAGE </w:instrText>
    </w:r>
    <w:r>
      <w:fldChar w:fldCharType="end"/>
    </w:r>
    <w:r>
      <w:rPr>
        <w:rFonts w:ascii="Arial" w:hAnsi="Arial"/>
        <w:b w:val="0"/>
        <w:color w:val="53655A"/>
        <w:sz w:val="16"/>
        <w:lang w:val="de-DE"/>
      </w:rPr>
      <w:t xml:space="preserve"> / </w:t>
    </w:r>
    <w:r>
      <w:fldChar w:fldCharType="begin"/>
    </w:r>
    <w:r>
      <w:instrText xml:space="preserve"> NUMPAGES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after="0"/>
      <w:pBdr>
        <w:bottom w:val="single" w:sz="4" w:color="A88D55" w:space="8"/>
      </w:pBdr>
    </w:pPr>
    <w:r>
      <w:drawing>
        <wp:inline xmlns:a="http://schemas.openxmlformats.org/drawingml/2006/main" xmlns:pic="http://schemas.openxmlformats.org/drawingml/2006/picture" distT="0" distB="0" distL="0" distR="0">
          <wp:extent cx="360000" cy="244500"/>
          <wp:docPr id="1" name="Picture 1" descr="SEVAREL Consulting – Galaxiezeichen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evarel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000" cy="2445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 w:val="0"/>
        <w:color w:val="10382B"/>
        <w:sz w:val="20"/>
        <w:lang w:val="de-DE"/>
      </w:rPr>
      <w:t xml:space="preserve">   S E V A R E L   C O N S U L T I N G</w:t>
    </w:r>
    <w:r>
      <w:rPr>
        <w:rFonts w:ascii="Arial" w:hAnsi="Arial"/>
        <w:b w:val="0"/>
        <w:color w:val="53655A"/>
        <w:sz w:val="16"/>
        <w:lang w:val="de-DE"/>
      </w:rPr>
      <w:tab/>
      <w:t>SC-09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Arial" w:hAnsi="Arial"/>
      <w:color w:val="183C30"/>
      <w:sz w:val="20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Arial" w:hAnsi="Arial"/>
      <w:b w:val="0"/>
      <w:bCs/>
      <w:color w:val="183C30"/>
      <w:sz w:val="36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60"/>
      <w:outlineLvl w:val="1"/>
    </w:pPr>
    <w:rPr>
      <w:rFonts w:asciiTheme="majorHAnsi" w:eastAsiaTheme="majorEastAsia" w:hAnsiTheme="majorHAnsi" w:cstheme="majorBidi" w:ascii="Arial" w:hAnsi="Arial"/>
      <w:b w:val="0"/>
      <w:bCs/>
      <w:color w:val="183C30"/>
      <w:sz w:val="24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83C30"/>
      <w:spacing w:val="5"/>
      <w:kern w:val="28"/>
      <w:sz w:val="52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183C30"/>
      <w:lang w:val="de-DE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Automatisierungs-Prüfung</dc:title>
  <dc:subject>Auslöser, Regeln, Fehlerwege und Betriebsverantwortung prüfen.</dc:subject>
  <dc:creator>SEVAREL Consulting</dc:creator>
  <cp:keywords>KI, Software, Technologie, Arbeitsvorlage, Automatisierungs-Prüfung</cp:keywords>
  <dc:description>Gestaltete Ausgabe aus der enthaltenen SEVAREL-Quellvorlage. Keine echten Kundendaten.</dc:description>
  <cp:lastModifiedBy>SEVAREL Consulting</cp:lastModifiedBy>
  <cp:revision>1</cp:revision>
  <dcterms:created xsi:type="dcterms:W3CDTF">2026-09-30T00:00:00Z</dcterms:created>
  <dcterms:modified xsi:type="dcterms:W3CDTF">2026-09-30T00:00:00Z</dcterms:modified>
  <cp:category>Systeme &amp; Einführung</cp:category>
  <dc:language>de-DE</dc:language>
</cp:coreProperties>
</file>